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2026 rokiem technologicznego wstrząsu? Check Point ostrzega przed „tsunami”, które zmieni globalny porządek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2026 będzie przełomem dla globalnej technologii – wynika z najnowszego raportu Check Point Software Technologies The 2026 Tech Tsunami. Świat wkroczy w etap agentowej AI, hiperautomatyzacji i konwergencji z komputerami kwantowymi oraz wczesną fazą Web 4.0. Zmiany te przyniosą m.in. ogromną automatyzację — od marketingu i logistyki po systemy prawne — ale też wzrost zagrożeń, takich jak syntetyczne tożsamości, socjotechnika generowana przez AI czy masowe wykorzystanie prompt injection.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2026 to czas nurtu agentowej AI – autonomicznych systemów, które potrafią rozumować, planować i działać przy minimalnym udziale człowieka. Autonomiczne systemy będą przydzielać budżety, zarządzać logistyką, kontrolować linie produkcyjne i same zlecać naprawy przez blockchain. Marketing, finanse i bezpieczeństwo będą działać w oparciu o agentów uczących się w czasie rzeczywistym.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Przechodzimy od asystentów tworzących treści do agentów realizujących strategie – </w:t>
      </w:r>
      <w:r>
        <w:rPr>
          <w:rFonts w:ascii="calibri" w:hAnsi="calibri" w:eastAsia="calibri" w:cs="calibri"/>
          <w:sz w:val="24"/>
          <w:szCs w:val="24"/>
        </w:rPr>
        <w:t xml:space="preserve">mówi David Haber, VP AI Agent Security w Check Point. Na czele stawki są Stany Zjednoczone i Chiny, chociaż gonią je państwa zachodniej Europy.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od marketingu po sądownictwo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daleko sięga zastosowanie AI w marketing pokazuje przykład wprowadzenia w tym roku na polski rynek narzędzi In-Pulse - kompleksowych rozwiązań analitycznych, umożliwiających firmom śledzenie zmieniających się trendów i przyzwyczajeń zakupowych polskich konsumentów i podejmowanie trafnych decyzji sprzedażowych w czasie rzeczywistym… Jak podkreślają jego twórcy, In-Pulse to nie tylko narzędzie, ale nowy sposób myślenia o komunikacji marek, tworzeniu produktów i ocenie skuteczności działań marketingowych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In-Pulse i wykorzystaniu AI marki po raz pierwszy mogą planować, testować i optymalizować działania marketingowe w jednym, zintegrowanym środowisku, w czasie rzeczywistym</w:t>
      </w:r>
      <w:r>
        <w:rPr>
          <w:rFonts w:ascii="calibri" w:hAnsi="calibri" w:eastAsia="calibri" w:cs="calibri"/>
          <w:sz w:val="24"/>
          <w:szCs w:val="24"/>
        </w:rPr>
        <w:t xml:space="preserve"> – podkreśla Anna Pańczyk, CEO In-Pulse.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 przykład to zastosowanie sztucznej inteligencji w chińskim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systemie sądownictwa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Chiny w ostatnich latach stały się pionierem w wykorzystaniu sztucznej inteligencji w systemie prawnym. Pomysł wykorzystania AI w sądach nie jest tam niczym nowym — bowiem już od 2017 roku sztuczna inteligencja usprawnia pracę przy postępowaniach sądowych. </w:t>
      </w:r>
      <w:r>
        <w:rPr>
          <w:rFonts w:ascii="calibri" w:hAnsi="calibri" w:eastAsia="calibri" w:cs="calibri"/>
          <w:sz w:val="24"/>
          <w:szCs w:val="24"/>
        </w:rPr>
        <w:t xml:space="preserve">System 206 (nazwa oficjalna) koordynuje proces zbierania i oceny dowodów, które są ujednolicone, zdigitalizowane i zaprezentowane w formie list kontrolnych. Dzięki temu użytkownicy – śledczy, prokuratorzy i sędziowie – mogą unikać błędów wynikających z niejednolitych standardów stosowanych przez różne organy wymiaru sprawiedliwości.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Polsce również trwają prace nad wdrożeniem takich technologii do systemu sądownictwa. Będą miały one za zadanie wspierać sądy powszechne poprzez automatyzację protokołowania rozpraw, analizę dowodów oraz weryfikację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AI niesie ze sobą zagrożenia, ale i szanse dla cyberbezpieczeństwa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Upowszechnienie AI sprawia, że konsumenci są narażeni na zagrożenie fałszerstwami, a trend ten będzie postępować. Generatywna sztuczna inteligencja zatarła bowiem granicę między prawdą a fałszem. Sklonowany głos może autoryzować przelew; syntetyczne, generowane w czasie rzeczywistym wideo może poprosić o dostęp uprzywilejowany; przekonująca rozmowa z wykorzystaniem wiedzy o procesach firmowych może całkowicie ominąć uwierzytelnianie wieloskładnikowe. Według raportu ENISA Threat Landscape 2025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„syntetyczne tożsamości i AI-generowane socjotechniki” </w:t>
      </w:r>
      <w:r>
        <w:rPr>
          <w:rFonts w:ascii="calibri" w:hAnsi="calibri" w:eastAsia="calibri" w:cs="calibri"/>
          <w:sz w:val="24"/>
          <w:szCs w:val="24"/>
        </w:rPr>
        <w:t xml:space="preserve">staną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pięciu głównych wektorów ryzyka dla europejskich przedsiębiorstw. Jak zauważają autorzy raportu Check Point, w 2026 roku atakujący nie będą celować tylko w systemy – uderzą w tożsamości, zachowania i słabe punkty na styku ludzi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2026 r. cyberprzestępcy masowo wykorzystają prompt injection, czyli ukryte instrukcje manipulujące odpowiedzią AI oraz zatrute dane treningowe.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obliczu tych doświadczeń rok 2026 przyniesie pierwszą dużą korektę. Wiele organizacji, które w pośpiechu integrowały narzędzia generatywne, odkryje niezarządzane systemy, podatności API i ślepe plamy w obszarze zgodności bezpieczeństwa </w:t>
      </w:r>
      <w:r>
        <w:rPr>
          <w:rFonts w:ascii="calibri" w:hAnsi="calibri" w:eastAsia="calibri" w:cs="calibri"/>
          <w:sz w:val="24"/>
          <w:szCs w:val="24"/>
        </w:rPr>
        <w:t xml:space="preserve">– uważa Mateo Rojas-Carulla, Head of Research, AI Agent Security, Check Point. Dlatego szefowie firm muszą ustanowić jasne zasady korzystania z AI i powiązać je z ramami prawnymi, etycznymi i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ds. cyberbezpieczeństwa przestrzegają przed poważnymi zagrożeniami ze strony sztucznej inteligencji, jednak zauważają, że może być również tym narzędziem, które pozwoli na wczesne wykrywanie niebezpieczeństw w sieci. AI staje się warstwą operacyjną w centrach bezpieczeństwa, wzmacniając ludzką wiedzę. Jej przyspieszona adaptacja sprawia, że staje się ona częścią kręgosłupa operacyjnego cyberbezpieczeństwa.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stopniowo zmienia fundamenty cyberbezpieczeństwa. Branża wchodzi w fazę, w której AI przestaje być wsparciem i staje się wbudowanym elementem procesów detekcji, analizy i podejmowania decyzji</w:t>
      </w:r>
      <w:r>
        <w:rPr>
          <w:rFonts w:ascii="calibri" w:hAnsi="calibri" w:eastAsia="calibri" w:cs="calibri"/>
          <w:sz w:val="24"/>
          <w:szCs w:val="24"/>
        </w:rPr>
        <w:t xml:space="preserve"> – uważa Roi Karo, Chief Strategy Officer, Check Point.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5OdSbinmV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2026-03-21T14:48:14+01:00</dcterms:created>
  <dcterms:modified xsi:type="dcterms:W3CDTF">2026-03-21T14:48:14+01:00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