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Cyberataki na przeglądarki stały się zmorą 2024 roku. Hakerzy wymusili w tym roku najwyższy okup sięgający 75 mln dolarów!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2024 roku cyberprzestępcy skupili się na atakach na przeglądarki internetowe, wykorzystując ich podatności - podsumowują kończący się rok eksperci Check Point Software. W mijającym roku wymuszono najwyższy okup (na rzecz grupy Dark Angels), który wyniósł aż 75 milionów dolarów. Ataki były szczególnie dotkliwe dla sektora opieki zdrowotnej i administracji rządowej, które doświadczyły łącznie 67% wszystkich ataków ransomware. Średni koszt naprawy skutków ataku dla firm oszacowano na 2,57 mln dolarów.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Podczas, gdy w 2024 roku firmy coraz bardziej polegały na platformach SaaS, aplikacjach chmurowych, pracy zdalnej i politykach BYOD (Bring Your Own Device), systematycznie rosła liczba ataków napędzanych przez sztuczną inteligencję, ransomware jako usługa (RaaS) oraz podatności typu zero-day w przeglądarkach internetowych. Tradycyjne rozwiązania, takie jak zabezpieczenia punktów końcowych, SaaS czy poczty e-mail, okazały się niewystarczające. Zaawansowane technologie, polityka ochrony przeglądarek (w biurach i prywatnie) stała się kluczowym elementem dla firm chcących zabezpieczyć swoje cyfrowe miejsca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Alarmująca była również skala tegorocznych ataków phishingowych i socjotechnicznych realizowanych we współpracy z AI. Cyberprzestępcy wykorzystywali generatywną sztuczną inteligencję do tworzenia wiadomości phishingowych niemal nie do odróżnienia od autentycznych komunikatów. Z raportu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GlobeNewswire</w:t>
      </w:r>
      <w:r>
        <w:rPr>
          <w:rFonts w:ascii="calibri" w:hAnsi="calibri" w:eastAsia="calibri" w:cs="calibri"/>
          <w:sz w:val="24"/>
          <w:szCs w:val="24"/>
        </w:rPr>
        <w:t xml:space="preserve"> wynika, że aż 89% zagrożeń w przeglądarkach pochodziło właśnie z phishingu, a atakujący skuteczniej omijali tradycyjne filtry zabezpieczające.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RaaS (ransomware jako usługa) w 2024 roku stał się niespotykanie popularnym środkiem działania przestępców. Średnia żądana kwota okupu w pierwszej połowie 2024 roku wynosiła ponad 5,2 mln dolarów! Ale w mijającym roku padł również rekord okupu zapłaconego hakerom - 75 milionów dolarów.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Software Technologies odnotował ponadto wzrost podatności zero-day w przeglądarkach, takich jak Chrome i Edge. Szczególnie głośna była luka CVE-2024-7971 w silniku JavaScript V8 Chrome, która pozwalała hakerom na zdalne uruchamianie złośliwego kodu. Skutki były dotkliwe – przestoje operacyjne, wycieki danych oraz kosztowne procesy odzyskiwania.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2026-10-13T19:30:53+02:00</dcterms:created>
  <dcterms:modified xsi:type="dcterms:W3CDTF">2026-10-13T19:30:53+02:00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