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Check Point oraz NVIDIA łączą siły, by zabezpieczyć „fabryki AI”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Check Point Software ponownie szuka rozwiązań dla poprawy bezpieczeństwa usług AI. Tym razem łączy siły z NVIDIA i ogłasza premierę AI Cloud Protect – rozwiązania, które kompleksowo chroni modele AI, środowiska ich trenowania oraz aplikacje agentowe przed zagrożeniami cybernetycznymi. Platforma - opracowana we współpracy z NVIDIA - działa w oparciu o technologię NVIDIA BlueField, umożliwiając bezpieczne wdrożenia sztucznej inteligencji w centrach danych i chmurze.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Wraz z rozwojem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fabryk AI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nie możemy pozwolić sobie na ślepe punkty. Wspólnie z NVIDIA tworzymy bezpieczeństwo wbudowane w projekt – chroniąc modele, dane i infrastrukturę bez spowalniania innowacji</w:t>
      </w:r>
      <w:r>
        <w:rPr>
          <w:rFonts w:ascii="calibri" w:hAnsi="calibri" w:eastAsia="calibri" w:cs="calibri"/>
          <w:sz w:val="24"/>
          <w:szCs w:val="24"/>
        </w:rPr>
        <w:t xml:space="preserve"> - podkreśla Nataly Kremer, Chief Product Officer w Check Point.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Nowe rozwiązanie powstało w odpowiedzi na rosnącą falę zagrożeń związanych z AI. Według danych Check Pointa, </w:t>
      </w:r>
      <w:r>
        <w:rPr>
          <w:rFonts w:ascii="calibri" w:hAnsi="calibri" w:eastAsia="calibri" w:cs="calibri"/>
          <w:sz w:val="24"/>
          <w:szCs w:val="24"/>
          <w:b/>
        </w:rPr>
        <w:t xml:space="preserve">co 80. zapytanie w systemach GenAI ujawnia wrażliwe dane</w:t>
      </w:r>
      <w:r>
        <w:rPr>
          <w:rFonts w:ascii="calibri" w:hAnsi="calibri" w:eastAsia="calibri" w:cs="calibri"/>
          <w:sz w:val="24"/>
          <w:szCs w:val="24"/>
        </w:rPr>
        <w:t xml:space="preserve">, natomiast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raport Gartnera</w:t>
      </w:r>
      <w:r>
        <w:rPr>
          <w:rFonts w:ascii="calibri" w:hAnsi="calibri" w:eastAsia="calibri" w:cs="calibri"/>
          <w:sz w:val="24"/>
          <w:szCs w:val="24"/>
        </w:rPr>
        <w:t xml:space="preserve"> wskazywał, że </w:t>
      </w:r>
      <w:r>
        <w:rPr>
          <w:rFonts w:ascii="calibri" w:hAnsi="calibri" w:eastAsia="calibri" w:cs="calibri"/>
          <w:sz w:val="24"/>
          <w:szCs w:val="24"/>
          <w:b/>
        </w:rPr>
        <w:t xml:space="preserve">ponad 30% organizacji </w:t>
      </w:r>
      <w:r>
        <w:rPr>
          <w:rFonts w:ascii="calibri" w:hAnsi="calibri" w:eastAsia="calibri" w:cs="calibri"/>
          <w:sz w:val="24"/>
          <w:szCs w:val="24"/>
        </w:rPr>
        <w:t xml:space="preserve">doświadczyło w ostatnim roku ataków na modele lub infrastrukturę AI.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AI Cloud Protect zapewnia kompleksową ochronę infrastruktury sztucznej inteligencji na wszystkich poziomach działania systemu. W warstwie sieciowej zapobiega nieautoryzowanemu dostępowi oraz wyciekom danych, minimalizując ryzyko ataków typu data poisoning i model exfiltration. Na poziomie hosta wykorzystuje technologię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NVIDIA DOCA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Argus, która umożliwia pełną widoczność procesów uruchomionych na węzłach AI i pozwala wykrywać złośliwe działania, również w publicznie dostępnych modelach LLM. Z kolei w warstwie aplikacji AI Cloud Protect integruje się z rozwiązaniami Check Point CloudGuard WAF i Infinity GenAI Protect, dzięki czemu skutecznie blokuje ataki takie jak prompt injection, jailbreak czy wycieki poufnych danych z aplikacji wykorzystujących generatywną sztuczną inteligencję.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Rozwiązanie wykorzystuje akcelerację sprzętową NVIDIA BlueField-3 DPU, dzięki czemu nie obciąża CPU ani GPU. Wkrótce ma też obsługiwać BlueField-4, który zapewni nawet sześciokrotnie większą moc obliczeniową i dwukrotnie większą przepustowość sieciową.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Check Point testuje AI Cloud Protect w sektorze finansowym i u partnerów takich jak World Wide Technology (WWT). 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Połączenie Check Point AI Cloud Protect i NVIDIA BlueField umożliwia ochronę najbardziej wrażliwych obciążeń AI – od trenowania modeli po inferencję – bez kompromisów w zakresie wydajności </w:t>
      </w:r>
      <w:r>
        <w:rPr>
          <w:rFonts w:ascii="calibri" w:hAnsi="calibri" w:eastAsia="calibri" w:cs="calibri"/>
          <w:sz w:val="24"/>
          <w:szCs w:val="24"/>
        </w:rPr>
        <w:t xml:space="preserve">– mówi Chris Konrad</w:t>
      </w:r>
      <w:r>
        <w:rPr>
          <w:rFonts w:ascii="calibri" w:hAnsi="calibri" w:eastAsia="calibri" w:cs="calibri"/>
          <w:sz w:val="24"/>
          <w:szCs w:val="24"/>
          <w:b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VP Global Cyber w WWT.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nvidia.com/en-us/solutions/ai-factori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2026-10-12T16:58:58+02:00</dcterms:created>
  <dcterms:modified xsi:type="dcterms:W3CDTF">2026-10-12T16:58:58+02:00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