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Lawinowy wzrost ataków o 61%. Sztuczna inteligencja ujawnia firmowe sekrety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Wrzesień 2026 roku przyniósł bezprecedensowe zaostrzenie sytuacji w cyberprzestrzeni. Z najnowszego raportu Check Point Research wynika, że globalna liczba cyberataków wzrosła aż o 48% w ujęciu rocznym. Europa odnotowała jeszcze większy skok – o 61%, natomiast w samym środku tego cyfrowego tornada znajduje się Polska, gdzie firmy zmagają się z średnio z 1893 atakami tygodniowo. Jakby tego było mało, korporacyjną ochronę od środka kruszy boom na generatywną sztuczną inteligencję – pracownicy masowo wprowadzają do modeli AI poufne dane strategiczne i finansowe.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wrześniu 2026 r. organizacje na całym świecie odpierały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2803 cyberataki tygodniowo</w:t>
      </w:r>
      <w:r>
        <w:rPr>
          <w:rFonts w:ascii="calibri" w:hAnsi="calibri" w:eastAsia="calibri" w:cs="calibri"/>
          <w:sz w:val="24"/>
          <w:szCs w:val="24"/>
        </w:rPr>
        <w:t xml:space="preserve">. To o 16% więcej niż w sierpniu i o 48% więcej niż rok wcześniej. Od maja do września liczba ataków wzrosła o 36%, co wskazuje na utrzymującą się tendencję wzrostową. Największy niepokój budzi obecnie sytuacja w Europie, gdzie liczba cyberataków wzrosła o </w:t>
      </w:r>
      <w:r>
        <w:rPr>
          <w:rFonts w:ascii="calibri" w:hAnsi="calibri" w:eastAsia="calibri" w:cs="calibri"/>
          <w:sz w:val="24"/>
          <w:szCs w:val="24"/>
          <w:b/>
        </w:rPr>
        <w:t xml:space="preserve">61% rok do roku</w:t>
      </w:r>
      <w:r>
        <w:rPr>
          <w:rFonts w:ascii="calibri" w:hAnsi="calibri" w:eastAsia="calibri" w:cs="calibri"/>
          <w:sz w:val="24"/>
          <w:szCs w:val="24"/>
        </w:rPr>
        <w:t xml:space="preserve">, osiągając średnio 2545 ataków tygodniowo na organizację. Pod względem ich bezwzględnej liczby przoduje Ameryka Łacińska, z wynikiem 3813 ataków tygodniowo.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Najczęściej atakowanym sektorem pozostaje edukacja – we wrześniu odnotowano w nim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6656 ataków tygodniowo na organizację</w:t>
      </w:r>
      <w:r>
        <w:rPr>
          <w:rFonts w:ascii="calibri" w:hAnsi="calibri" w:eastAsia="calibri" w:cs="calibri"/>
          <w:sz w:val="24"/>
          <w:szCs w:val="24"/>
        </w:rPr>
        <w:t xml:space="preserve">, o 59% więcej niż rok wcześniej. Kolejne miejsca zajęły telekomunikacja (3483 ataki) i sektor rządowy (3443).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Polska na celowniku: ponadprzeciętne uderzenia ransomware i botnetów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Dane Check Point Research dowodzą, że Polska nie jest bezpieczną przystanią. W ciągu ostatnich sześciu miesięcy pojedyncza polska organizacja mierzyła się średnio z 1 893 cyberatakami tygodniowo. </w:t>
      </w:r>
      <w:r>
        <w:rPr>
          <w:rFonts w:ascii="calibri" w:hAnsi="calibri" w:eastAsia="calibri" w:cs="calibri"/>
          <w:sz w:val="24"/>
          <w:szCs w:val="24"/>
          <w:b/>
        </w:rPr>
        <w:t xml:space="preserve">We wrześniu wynik ten był jeszcze wyższy i przekraczając 2250 ataków w skali tygodnia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Szczególny niepokój budzi profil zagrożeń, na które narażony jest polski biznes: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Ransomware powyżej średniej światowej</w:t>
      </w:r>
      <w:r>
        <w:rPr>
          <w:rFonts w:ascii="calibri" w:hAnsi="calibri" w:eastAsia="calibri" w:cs="calibri"/>
          <w:sz w:val="24"/>
          <w:szCs w:val="24"/>
        </w:rPr>
        <w:t xml:space="preserve">: w skali tygodnia złośliwe oprogramowanie szyfrujące dotyka w Polsce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9,1% organizacji</w:t>
      </w:r>
      <w:r>
        <w:rPr>
          <w:rFonts w:ascii="calibri" w:hAnsi="calibri" w:eastAsia="calibri" w:cs="calibri"/>
          <w:sz w:val="24"/>
          <w:szCs w:val="24"/>
        </w:rPr>
        <w:t xml:space="preserve">, podczas gdy globalna średnia wynosi 8,4%.</w:t>
      </w:r>
    </w:p>
    <w:p/>
    <w:p/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Plaga botnetów</w:t>
      </w:r>
      <w:r>
        <w:rPr>
          <w:rFonts w:ascii="calibri" w:hAnsi="calibri" w:eastAsia="calibri" w:cs="calibri"/>
          <w:sz w:val="24"/>
          <w:szCs w:val="24"/>
        </w:rPr>
        <w:t xml:space="preserve">: sieci zainfekowanych maszyn paraliżują lub infiltrują średnio </w:t>
      </w:r>
      <w:r>
        <w:rPr>
          <w:rFonts w:ascii="calibri" w:hAnsi="calibri" w:eastAsia="calibri" w:cs="calibri"/>
          <w:sz w:val="24"/>
          <w:szCs w:val="24"/>
          <w:b/>
        </w:rPr>
        <w:t xml:space="preserve">13,6% polskich przedsiębiorstw tygodniowo</w:t>
      </w:r>
      <w:r>
        <w:rPr>
          <w:rFonts w:ascii="calibri" w:hAnsi="calibri" w:eastAsia="calibri" w:cs="calibri"/>
          <w:sz w:val="24"/>
          <w:szCs w:val="24"/>
        </w:rPr>
        <w:t xml:space="preserve">, przewyższając średnią światową na poziomie 12,7%.</w:t>
      </w:r>
    </w:p>
    <w:p/>
    <w:p/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Krytyczne luki w poufności</w:t>
      </w:r>
      <w:r>
        <w:rPr>
          <w:rFonts w:ascii="calibri" w:hAnsi="calibri" w:eastAsia="calibri" w:cs="calibri"/>
          <w:sz w:val="24"/>
          <w:szCs w:val="24"/>
        </w:rPr>
        <w:t xml:space="preserve">: najczęstszą podatnością wykorzystywaną przez przestępców nad Wisłą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Information Disclosure</w:t>
      </w:r>
      <w:r>
        <w:rPr>
          <w:rFonts w:ascii="calibri" w:hAnsi="calibri" w:eastAsia="calibri" w:cs="calibri"/>
          <w:sz w:val="24"/>
          <w:szCs w:val="24"/>
        </w:rPr>
        <w:t xml:space="preserve"> (ujawnienie informacji), która uderza w aż </w:t>
      </w:r>
      <w:r>
        <w:rPr>
          <w:rFonts w:ascii="calibri" w:hAnsi="calibri" w:eastAsia="calibri" w:cs="calibri"/>
          <w:sz w:val="24"/>
          <w:szCs w:val="24"/>
          <w:b/>
        </w:rPr>
        <w:t xml:space="preserve">66% organizacji</w:t>
      </w:r>
      <w:r>
        <w:rPr>
          <w:rFonts w:ascii="calibri" w:hAnsi="calibri" w:eastAsia="calibri" w:cs="calibri"/>
          <w:sz w:val="24"/>
          <w:szCs w:val="24"/>
        </w:rPr>
        <w:t xml:space="preserve">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Zagrożenie przestało być abstrakcją ze slajdów szkoleniowych. Potwierdzają to głośne incydenty przeanalizowane przez ekspertów. W sektorze medycznym atak na dostawcę oprogramowania MyDr mógł narazić na ujawnienie dane wrażliwe nawet </w:t>
      </w:r>
      <w:r>
        <w:rPr>
          <w:rFonts w:ascii="calibri" w:hAnsi="calibri" w:eastAsia="calibri" w:cs="calibri"/>
          <w:sz w:val="24"/>
          <w:szCs w:val="24"/>
          <w:b/>
        </w:rPr>
        <w:t xml:space="preserve">18,8 miliona osób oraz 12 tysięcy placówek medycznych</w:t>
      </w:r>
      <w:r>
        <w:rPr>
          <w:rFonts w:ascii="calibri" w:hAnsi="calibri" w:eastAsia="calibri" w:cs="calibri"/>
          <w:sz w:val="24"/>
          <w:szCs w:val="24"/>
        </w:rPr>
        <w:t xml:space="preserve"> – w sieci pojawiły się próbki zawierające m.in. numery PESEL oraz recepty. Z kolei raport CERT Polska ujawnił bezprecedensowy atak na polską elektrociepłownię: intruzi wykorzystali podatność sprzętową, router i prywatny APN, by przejąć kontrolę nad sterownikami przemysłowymi (PLC), doprowadzając do chwilowego zatrzymania turbiny parowej i procesów uzdatniania wody. To wyraźny znak: cyberataki uderzają dziś bezpośrednio w bezpieczeństwo fizyczne i ciągłość krytycznych procesów biznesowych.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Nowy koń trojański: Firmowe tajemnice w paszczy Generatywnej AI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Cyberprzestępcy nie muszą już przełamywać zabezpieczeń, by uzyskać dostęp do poufnych informacji. Część danych pracownicy przekazują narzędziom AI podczas codziennej pracy, często bez pełnej świadomości konsekwencji.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Według Check Point Research 1 na 39 zapytań (promptów) wysyłanych do narzędzi GenAI przez pracowników zawierał informacje stwarzające wysokie ryzyko wycieku danych. Z ryzykownymi zapytaniami zetknęło się 89% organizacji korzystających z GenAI na świecie. 14% analizowanych promptów zawierało informacje potencjalnie wrażliwe.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Skala problemu rośnie wraz z popularnością tych narzędzi. Przeciętny pracownik wysyła miesięcznie 131 zapytań, a organizacje korzystają średnio z ośmiu platform AI. Do modeli trafiają nie tylko ogólne pytania, lecz także informacje dotyczące funkcjonowania przedsiębiorstw. Dane o infrastrukturze IT i sieci pojawiały się w promptach w 71% badanych organizacji, dane finansowe – w 70%, informacje prawne i regulacyjne – w 68%, a dane pracownicze – w 62%. Największe ryzyko odnotowano w sektorze usług biznesowych, gdzie wysoki poziom ryzyka dotyczył 4,9% zapytań.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Szantaż na masową skalę i pułapki w skrzynkach odbiorczych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Równolegle rozwija się tradycyjny rynek cyberprzestępczości. We wrześniu 2026 roku odnotowano łącznie </w:t>
      </w:r>
      <w:r>
        <w:rPr>
          <w:rFonts w:ascii="calibri" w:hAnsi="calibri" w:eastAsia="calibri" w:cs="calibri"/>
          <w:sz w:val="24"/>
          <w:szCs w:val="24"/>
          <w:b/>
        </w:rPr>
        <w:t xml:space="preserve">824 publicznie zaraportowane ataki ransomware – to skok o 53% w porównaniu z wrześniem ubiegłego roku</w:t>
      </w:r>
      <w:r>
        <w:rPr>
          <w:rFonts w:ascii="calibri" w:hAnsi="calibri" w:eastAsia="calibri" w:cs="calibri"/>
          <w:sz w:val="24"/>
          <w:szCs w:val="24"/>
        </w:rPr>
        <w:t xml:space="preserve">. Przestępcy coraz rzadziej poprzestają na samym szyfrowaniu; dominuje bezwzględny szantaż ujawnieniem danych (ang.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double extortion</w:t>
      </w:r>
      <w:r>
        <w:rPr>
          <w:rFonts w:ascii="calibri" w:hAnsi="calibri" w:eastAsia="calibri" w:cs="calibri"/>
          <w:sz w:val="24"/>
          <w:szCs w:val="24"/>
        </w:rPr>
        <w:t xml:space="preserve">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Aż </w:t>
      </w:r>
      <w:r>
        <w:rPr>
          <w:rFonts w:ascii="calibri" w:hAnsi="calibri" w:eastAsia="calibri" w:cs="calibri"/>
          <w:sz w:val="24"/>
          <w:szCs w:val="24"/>
          <w:b/>
        </w:rPr>
        <w:t xml:space="preserve">31,3% wszystkich ofiar ransomware na świecie stanowiły podmioty z sektora usług biznesowych (Business Services)</w:t>
      </w:r>
      <w:r>
        <w:rPr>
          <w:rFonts w:ascii="calibri" w:hAnsi="calibri" w:eastAsia="calibri" w:cs="calibri"/>
          <w:sz w:val="24"/>
          <w:szCs w:val="24"/>
        </w:rPr>
        <w:t xml:space="preserve">. To celowa kalkulacja – paraliż firmy świadczącej usługi outsourcingowe, prawne czy księgowe natychmiast uderza w setki jej klientów, wywołując efekt domina. Na czele grup wymuszających okup uplasowała się operacja „The Gentlemen”, odpowiadająca za 13% opublikowanych ataków we wrześniu, wyprzedzając gangi takie jak Qilin (9%) czy Akira (5%).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Pierwszą linią ataku wciąż pozostaje skrzynka e-mail. We wrześniu </w:t>
      </w:r>
      <w:r>
        <w:rPr>
          <w:rFonts w:ascii="calibri" w:hAnsi="calibri" w:eastAsia="calibri" w:cs="calibri"/>
          <w:sz w:val="24"/>
          <w:szCs w:val="24"/>
          <w:b/>
        </w:rPr>
        <w:t xml:space="preserve">1 na 91 wiadomości e-mail (1,1%) została sklasyfikowana jako phishing</w:t>
      </w:r>
      <w:r>
        <w:rPr>
          <w:rFonts w:ascii="calibri" w:hAnsi="calibri" w:eastAsia="calibri" w:cs="calibri"/>
          <w:sz w:val="24"/>
          <w:szCs w:val="24"/>
        </w:rPr>
        <w:t xml:space="preserve"> (wobec 1 na 112 w sierpniu). Aż 81% z nich opierało się na złośliwych linkach. Przestępcy perfekcyjnie manipulują zaufaniem użytkowników, najczęściej podszywając się pod globalne marki - liderem kampanii phishingowych pozostaje wizerunek Microsoft (odpowiadająca za 22,6% przypadków podszywania się pod znane marki), a tuż za nią jest LinkedIn (11,6%).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2026-10-10T01:16:41+02:00</dcterms:created>
  <dcterms:modified xsi:type="dcterms:W3CDTF">2026-10-10T01:16:41+02:00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