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liderem platform Zero Trust według Forrester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została sklasyfikowana wśród liderów raportu The Forrester Wave™: Zero Trust Platforms, Q3 2025. Analitycy Forrester docenili izraelską firmę za kompleksowe podejście do bezpieczeństwa sieciowego w środowiskach hybrydowych, w tym za wykorzystanie AI i strategię opartą na prewencji. To szczególnie istotne wyróżnienie w kontekście rosnących zagrożeń cybernetycznych – w 2 kwartale roku na całym świecie liczba ataków wzrosła aż o 21% r/r.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zdobył najwyższe możliwe oceny (5/5) w kluczowych kategoriach, takich jak scentralizowane zarządzanie, egzekwowanie zasad najmniejszych uprawnień (least-privileged access), segmentacja i kontrola, a także łatwość wdrożenia. Równie wysoko oceniono strategię rozwoju oraz ofertę usług wspierających, co – według przedstawicieli firmy – potwierdza jej silną orientację na potrzeby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Zdaniem ekspertów Forrester, rozwiązania Check Pointa szczególnie wyróżniają się jako propozycja dla firm poszukujących spójnej, intuicyjnej i łatwej w zarządzaniu platformy bezpieczeństwa – zarówno dla środowisk lokalnych, jak i chmurowych. Firma została wyróżniona m.in. za swoją hybrydową architekturę mesh, bazującą na modelu SASE oraz za platformę Infinity, która integruje zarządzanie bezpieczeństwem w środowiskach on-premises, cloud i w przestrzeniach roboczych.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Wyróżnienie to stanowi potwierdzenie, że platforma Infinity odpowiada na potrzeby ery hipersieci i rozwiązań napędzanych przez sztuczną inteligencję. Zintegrowane podejście do ochrony użytkowników, danych i zasobów ma być fundamentem dalszego rozwoju i ekspansji firmy </w:t>
      </w:r>
      <w:r>
        <w:rPr>
          <w:rFonts w:ascii="calibri" w:hAnsi="calibri" w:eastAsia="calibri" w:cs="calibri"/>
          <w:sz w:val="24"/>
          <w:szCs w:val="24"/>
        </w:rPr>
        <w:t xml:space="preserve">- podkreśla Nataly Kremer, Chief Product Officer w Check Point Software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partnerów typu reseller i integratorów IT, raport Forrester to istotny sygnał – Check Point pozostaje nie tylko dostawcą technologii, ale także liderem wyznaczającym kierunki rozwoju w segmencie Zero Trust, oferując realne wsparcie dla klientów w przejściu od tradycyjnych modeli ochrony do strategii „zero zaufania”.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2026-10-24T21:45:50+02:00</dcterms:created>
  <dcterms:modified xsi:type="dcterms:W3CDTF">2026-10-24T21:45:50+02:00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