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przejmuje Cyberint, aby wzmocnić obszar wywiadu zagrożeń w cyberprzestrzeni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konsolidacja na rynku cyberbezpieczeństwa. Izraelski Check Point Software Technologies (NASDAQ: CHKP) ogłosił przejęcie firmy Cyberint Technologies Ltd., pioniera w zarządzaniu ryzykiem zewnętrznym. Celem transakcji jest wzmocnienie możliwości Centrum Operacji Bezpieczeństwa (SOC) Check Point oraz rozszerzenie oferty w zakresie zarządzania wywiadem zagrożeń.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2010 roku, Cyberint zatrudnia ponad 170 pracowników na całym świecie i jest jedną z najszybciej rozwijających się firm w dziedzinie zarządzania ryzykiem zewnętrznym na rynku. W 2023 roku została uznana przez Frost &amp; Sullivan za „Firmę Roku” w kategorii łagodzenia i zarządzania ryzykiem zewnętrznym. Organizacje codziennie stają przed poważnymi wyzwaniami bezpieczeństwa, w tym kradzieżą danych uwierzytelniających pracowników, fałszywymi stronami internetowymi oraz podszywaniem się w mediach społecznościowych. Aby zapobiec tym i innym zagrożeniom negatywnie wpływającym na firmy, Cyberint specjalizuje się w wywiadzie cyberzagrożeń, ochronie przed ryzykiem cyfrowym oraz zarządzaniu powierzchnią ataku, obsługując różnych klientów z całego świata, w tym firmy z listy Fortune 500.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podekscytowani, mogąc powitać Cyberint w strukturach Check Pointa. Ich rozwiązanie doskonale wpisuje się w naszą wizję współpracy w zapobieganiu zagrożeniom i wzmacnia nasze możliwości SOC. Będziemy mogli przekształcać zidentyfikowane zagrożenia w autonomiczne działania zapobiegawcze i współpracując z produktami bezpieczeństwa Check Point oraz stron trzecich, aby ograniczać zagrożone zasoby i minimalizować ryzyko zewnętrzne</w:t>
      </w:r>
      <w:r>
        <w:rPr>
          <w:rFonts w:ascii="calibri" w:hAnsi="calibri" w:eastAsia="calibri" w:cs="calibri"/>
          <w:sz w:val="24"/>
          <w:szCs w:val="24"/>
        </w:rPr>
        <w:t xml:space="preserve"> - powiedziała Sharon Schusheim, Dyrektor ds. usług w Check Point Software Technologies.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Cyberint zostaną zintegrowane z platformą Check Point Infinity, oferując kompleksową ochronę przed zaawansowanymi cyberzagrożeniami, dostępną również jako usługa zarządzana. Transakcja ma zostać sfinalizowana do końca 2024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2026-06-03T23:12:34+02:00</dcterms:created>
  <dcterms:modified xsi:type="dcterms:W3CDTF">2026-06-03T23:12:34+02:00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