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zaatakowali inwestorów kryptowalut. Skradziono ponad 9 milionów dolarów w kryptowalutach.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okradli w ciągu 6 miesięcy ponad 9 milionów dolarów grupie 30 tys. inwestorów kryptowalut. To wszystko dzięki Inferno Drainer, jednemu z najbardziej przebiegłych i dochodowych mechanizmów wykradania kryptowalut – alarmują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Ostatnie ataki pokazują jak bardzo cyberprzestępczość się sprofesjonalizowała.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Inferno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Drainer nie tylko kradnie kryptowaluty; rozwija on oszustwa na wzór startupu, z siecią partnerów, własną infrastrukturą i ciągłymi aktualizacjami. Ekosystem kryptowalut musi wreszcie zdać sobie sprawę, jak zaawansowane i uporczywe stały się te zagrożenia</w:t>
      </w:r>
      <w:r>
        <w:rPr>
          <w:rFonts w:ascii="calibri" w:hAnsi="calibri" w:eastAsia="calibri" w:cs="calibri"/>
          <w:sz w:val="24"/>
          <w:szCs w:val="24"/>
        </w:rPr>
        <w:t xml:space="preserve"> – uważa Eli Smadja, menedżer w Check Point Software Technologies.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odkrył, że działalność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Drainera przyniosła w ostatnim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30 000</w:t>
      </w:r>
      <w:r>
        <w:rPr>
          <w:rFonts w:ascii="calibri" w:hAnsi="calibri" w:eastAsia="calibri" w:cs="calibri"/>
          <w:sz w:val="24"/>
          <w:szCs w:val="24"/>
        </w:rPr>
        <w:t xml:space="preserve"> ofiar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blockchainach</w:t>
      </w:r>
      <w:r>
        <w:rPr>
          <w:rFonts w:ascii="calibri" w:hAnsi="calibri" w:eastAsia="calibri" w:cs="calibri"/>
          <w:sz w:val="24"/>
          <w:szCs w:val="24"/>
        </w:rPr>
        <w:t xml:space="preserve">. Rekordowa jednorazowa strata użytkownika sięgnęła </w:t>
      </w:r>
      <w:r>
        <w:rPr>
          <w:rFonts w:ascii="calibri" w:hAnsi="calibri" w:eastAsia="calibri" w:cs="calibri"/>
          <w:sz w:val="24"/>
          <w:szCs w:val="24"/>
          <w:b/>
        </w:rPr>
        <w:t xml:space="preserve">761 000 dolarów</w:t>
      </w:r>
      <w:r>
        <w:rPr>
          <w:rFonts w:ascii="calibri" w:hAnsi="calibri" w:eastAsia="calibri" w:cs="calibri"/>
          <w:sz w:val="24"/>
          <w:szCs w:val="24"/>
        </w:rPr>
        <w:t xml:space="preserve">, czyli ponad 2,9 mln PLN! Szacuje się, że wszystkie kradzieże przypisywane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mogą przekraczać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250 milionów dolarów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to przykład modelu </w:t>
      </w:r>
      <w:r>
        <w:rPr>
          <w:rFonts w:ascii="calibri" w:hAnsi="calibri" w:eastAsia="calibri" w:cs="calibri"/>
          <w:sz w:val="24"/>
          <w:szCs w:val="24"/>
          <w:b/>
        </w:rPr>
        <w:t xml:space="preserve">Drainer-as-a-Service (DaaS)</w:t>
      </w:r>
      <w:r>
        <w:rPr>
          <w:rFonts w:ascii="calibri" w:hAnsi="calibri" w:eastAsia="calibri" w:cs="calibri"/>
          <w:sz w:val="24"/>
          <w:szCs w:val="24"/>
        </w:rPr>
        <w:t xml:space="preserve"> – zorganizowanej usługi przestępczej, w której operatorzy udostępniają zestawy narzędzi phishingowych swoim „partnerom”, zapewniając im infrastrukturę, dedykowane skrypty i bieżące wsparcie techniczne. Według analityków Check Point Research, obecna wersja oprogramowania cechuje się niespotykanym poziomem zaawansowania technologicznego.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z 2025 roku wprowadza szereg nowoczesnych mechanizmów utrudniających wykrycie i przeciwdziałanie atakom. Posiada szyfrowaną komunikację C&amp;C w łańcuchu Binance Smart Chain, czy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jednorazowe smart kontrakty</w:t>
      </w:r>
      <w:r>
        <w:rPr>
          <w:rFonts w:ascii="calibri" w:hAnsi="calibri" w:eastAsia="calibri" w:cs="calibri"/>
          <w:sz w:val="24"/>
          <w:szCs w:val="24"/>
        </w:rPr>
        <w:t xml:space="preserve">, które ulegają samozniszczeniu po pojedynczym użyciu.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umożliwia wykorzystanie protokołu OAuth2 i bezpiecznych proxy</w:t>
      </w:r>
      <w:r>
        <w:rPr>
          <w:rFonts w:ascii="calibri" w:hAnsi="calibri" w:eastAsia="calibri" w:cs="calibri"/>
          <w:sz w:val="24"/>
          <w:szCs w:val="24"/>
        </w:rPr>
        <w:t xml:space="preserve"> do omijania filtrów przeglądarek, portfeli i narzędzi antyphishingowych, a</w:t>
      </w:r>
      <w:r>
        <w:rPr>
          <w:rFonts w:ascii="calibri" w:hAnsi="calibri" w:eastAsia="calibri" w:cs="calibri"/>
          <w:sz w:val="24"/>
          <w:szCs w:val="24"/>
          <w:b/>
        </w:rPr>
        <w:t xml:space="preserve">wielowarstwowe szyfrowanie AES i głęboka obfuskacja kodu</w:t>
      </w:r>
      <w:r>
        <w:rPr>
          <w:rFonts w:ascii="calibri" w:hAnsi="calibri" w:eastAsia="calibri" w:cs="calibri"/>
          <w:sz w:val="24"/>
          <w:szCs w:val="24"/>
        </w:rPr>
        <w:t xml:space="preserve">, chroni przed analizą ekspertów ds. bezpieczeństwa.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atak?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bazują głównie na manipulacji użytkownikiem. Wg analityków Check Point Research można je opisać w trzech punktach: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Hakerzy przejmują linki zaproszeń na Discordzie lub podszywają się pod popularne boty (np. Collab.Land).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Podszywając się pod interfejsy weryfikacyjne, nakłaniają ofiary do podłączenia portfela i podpisania „niewinnej” transakcji.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rzeczywistości użytkownicy autoryzują złośliwe smartkontrakty lub udzielają nieświadomie stałego dostępu do tokenów.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użytkownicy przesyłają tokeny na wcześniej przygotowane adresy, bez jakiejkolwiek interakcji, co uniemożliwia portfelowi ostrzeżenie o zagrożeniu.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Check Point Research zalecają użytkownikom regularne sprawdzanie adresów URL i korzystanie tylko z oficjalnych źródeł – najlepiej zapisywać je jako zakładki, używanie „burner wallets” do testowania airdropów i nowych projektów, sprawdzanie czy bot Discorda ma oznaczenie Verified App. Niezbędna jest również analiza każdego wniosku o podpisanie transakcji – doradzają eksperci.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2026-07-07T03:27:20+02:00</dcterms:created>
  <dcterms:modified xsi:type="dcterms:W3CDTF">2026-07-07T03:27:20+02:00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